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B75C9" w:rsidRPr="00B15B8A" w:rsidTr="009E2D95">
        <w:tc>
          <w:tcPr>
            <w:tcW w:w="9209" w:type="dxa"/>
            <w:gridSpan w:val="4"/>
          </w:tcPr>
          <w:p w:rsidR="00FB75C9" w:rsidRDefault="00FB75C9" w:rsidP="009C4647">
            <w:pPr>
              <w:rPr>
                <w:b/>
                <w:sz w:val="19"/>
                <w:szCs w:val="19"/>
              </w:rPr>
            </w:pPr>
            <w:r w:rsidRPr="00B15B8A">
              <w:rPr>
                <w:b/>
                <w:sz w:val="19"/>
                <w:szCs w:val="19"/>
              </w:rPr>
              <w:t xml:space="preserve">Continuing Statutory Service  (Proposed Base Budget Reduction </w:t>
            </w:r>
            <w:r w:rsidR="009C4647" w:rsidRPr="00B15B8A">
              <w:rPr>
                <w:b/>
                <w:sz w:val="19"/>
                <w:szCs w:val="19"/>
              </w:rPr>
              <w:t>T</w:t>
            </w:r>
            <w:r w:rsidRPr="00B15B8A">
              <w:rPr>
                <w:b/>
                <w:sz w:val="19"/>
                <w:szCs w:val="19"/>
              </w:rPr>
              <w:t>argets)</w:t>
            </w:r>
            <w:r w:rsidR="00B819B1" w:rsidRPr="00B15B8A">
              <w:rPr>
                <w:b/>
                <w:sz w:val="19"/>
                <w:szCs w:val="19"/>
              </w:rPr>
              <w:t xml:space="preserve"> – Template 2</w:t>
            </w:r>
          </w:p>
          <w:p w:rsidR="00CA2B52" w:rsidRPr="00B15B8A" w:rsidRDefault="00DC2092" w:rsidP="009C4647">
            <w:pPr>
              <w:rPr>
                <w:b/>
                <w:sz w:val="19"/>
                <w:szCs w:val="19"/>
              </w:rPr>
            </w:pPr>
            <w:r>
              <w:rPr>
                <w:b/>
                <w:sz w:val="19"/>
                <w:szCs w:val="19"/>
              </w:rPr>
              <w:t>BOP 013</w:t>
            </w:r>
          </w:p>
        </w:tc>
      </w:tr>
      <w:tr w:rsidR="00FB75C9" w:rsidRPr="00B15B8A" w:rsidTr="00084304">
        <w:tc>
          <w:tcPr>
            <w:tcW w:w="3256" w:type="dxa"/>
            <w:tcBorders>
              <w:bottom w:val="single" w:sz="4" w:space="0" w:color="auto"/>
            </w:tcBorders>
          </w:tcPr>
          <w:p w:rsidR="00FB75C9" w:rsidRPr="00B15B8A" w:rsidRDefault="00FB75C9" w:rsidP="004972D5">
            <w:pPr>
              <w:rPr>
                <w:sz w:val="19"/>
                <w:szCs w:val="19"/>
              </w:rPr>
            </w:pPr>
            <w:r w:rsidRPr="00B15B8A">
              <w:rPr>
                <w:sz w:val="19"/>
                <w:szCs w:val="19"/>
              </w:rPr>
              <w:t>Service name</w:t>
            </w:r>
          </w:p>
          <w:p w:rsidR="00311478" w:rsidRDefault="00B01F50" w:rsidP="00311478">
            <w:pPr>
              <w:rPr>
                <w:rFonts w:ascii="Calibri" w:hAnsi="Calibri"/>
                <w:color w:val="000000"/>
                <w:sz w:val="19"/>
                <w:szCs w:val="19"/>
              </w:rPr>
            </w:pPr>
            <w:r w:rsidRPr="00B15B8A">
              <w:rPr>
                <w:rFonts w:ascii="Calibri" w:hAnsi="Calibri"/>
                <w:color w:val="000000"/>
                <w:sz w:val="19"/>
                <w:szCs w:val="19"/>
              </w:rPr>
              <w:t xml:space="preserve">ASSET MANAGEMENT </w:t>
            </w:r>
            <w:r w:rsidR="00311478">
              <w:rPr>
                <w:rFonts w:ascii="Calibri" w:hAnsi="Calibri"/>
                <w:color w:val="000000"/>
                <w:sz w:val="19"/>
                <w:szCs w:val="19"/>
              </w:rPr>
              <w:t>TE</w:t>
            </w:r>
            <w:r w:rsidRPr="00B15B8A">
              <w:rPr>
                <w:rFonts w:ascii="Calibri" w:hAnsi="Calibri"/>
                <w:color w:val="000000"/>
                <w:sz w:val="19"/>
                <w:szCs w:val="19"/>
              </w:rPr>
              <w:t xml:space="preserve">AM </w:t>
            </w:r>
          </w:p>
          <w:p w:rsidR="00B01F50" w:rsidRPr="00B15B8A" w:rsidRDefault="00341A46" w:rsidP="00311478">
            <w:pPr>
              <w:rPr>
                <w:rFonts w:ascii="Calibri" w:hAnsi="Calibri"/>
                <w:color w:val="000000"/>
                <w:sz w:val="19"/>
                <w:szCs w:val="19"/>
              </w:rPr>
            </w:pPr>
            <w:r w:rsidRPr="00B15B8A">
              <w:rPr>
                <w:rFonts w:ascii="Calibri" w:hAnsi="Calibri"/>
                <w:color w:val="000000"/>
                <w:sz w:val="19"/>
                <w:szCs w:val="19"/>
              </w:rPr>
              <w:t>(BBR 031)</w:t>
            </w:r>
          </w:p>
        </w:tc>
        <w:tc>
          <w:tcPr>
            <w:tcW w:w="5953" w:type="dxa"/>
            <w:gridSpan w:val="3"/>
            <w:tcBorders>
              <w:bottom w:val="single" w:sz="4" w:space="0" w:color="auto"/>
            </w:tcBorders>
          </w:tcPr>
          <w:p w:rsidR="00FB75C9" w:rsidRPr="00B15B8A" w:rsidRDefault="00FB75C9" w:rsidP="004972D5">
            <w:pPr>
              <w:rPr>
                <w:sz w:val="19"/>
                <w:szCs w:val="19"/>
              </w:rPr>
            </w:pPr>
            <w:r w:rsidRPr="00B15B8A">
              <w:rPr>
                <w:sz w:val="19"/>
                <w:szCs w:val="19"/>
              </w:rPr>
              <w:t>Service description</w:t>
            </w:r>
            <w:r w:rsidR="00576D36" w:rsidRPr="00B15B8A">
              <w:rPr>
                <w:sz w:val="19"/>
                <w:szCs w:val="19"/>
              </w:rPr>
              <w:t xml:space="preserve"> – please see </w:t>
            </w:r>
            <w:r w:rsidR="004763D4">
              <w:rPr>
                <w:sz w:val="19"/>
                <w:szCs w:val="19"/>
              </w:rPr>
              <w:t>below</w:t>
            </w:r>
            <w:r w:rsidR="00F23563">
              <w:rPr>
                <w:sz w:val="19"/>
                <w:szCs w:val="19"/>
              </w:rPr>
              <w:br/>
            </w:r>
          </w:p>
          <w:p w:rsidR="00FB75C9" w:rsidRPr="00B15B8A" w:rsidRDefault="00FB75C9" w:rsidP="004972D5">
            <w:pPr>
              <w:rPr>
                <w:sz w:val="19"/>
                <w:szCs w:val="19"/>
              </w:rPr>
            </w:pPr>
          </w:p>
        </w:tc>
      </w:tr>
      <w:tr w:rsidR="00FB75C9" w:rsidRPr="00B15B8A" w:rsidTr="00084304">
        <w:tc>
          <w:tcPr>
            <w:tcW w:w="3256" w:type="dxa"/>
            <w:tcBorders>
              <w:bottom w:val="nil"/>
            </w:tcBorders>
          </w:tcPr>
          <w:p w:rsidR="00FB75C9" w:rsidRPr="00B15B8A" w:rsidRDefault="00FB75C9" w:rsidP="004972D5">
            <w:pPr>
              <w:rPr>
                <w:sz w:val="19"/>
                <w:szCs w:val="19"/>
              </w:rPr>
            </w:pPr>
          </w:p>
        </w:tc>
        <w:tc>
          <w:tcPr>
            <w:tcW w:w="1984" w:type="dxa"/>
            <w:tcBorders>
              <w:bottom w:val="nil"/>
            </w:tcBorders>
          </w:tcPr>
          <w:p w:rsidR="00FB75C9" w:rsidRPr="00B15B8A" w:rsidRDefault="00FB75C9" w:rsidP="00084304">
            <w:pPr>
              <w:jc w:val="center"/>
              <w:rPr>
                <w:b/>
                <w:sz w:val="19"/>
                <w:szCs w:val="19"/>
              </w:rPr>
            </w:pPr>
            <w:r w:rsidRPr="00B15B8A">
              <w:rPr>
                <w:b/>
                <w:sz w:val="19"/>
                <w:szCs w:val="19"/>
              </w:rPr>
              <w:t>2015/16</w:t>
            </w:r>
          </w:p>
        </w:tc>
        <w:tc>
          <w:tcPr>
            <w:tcW w:w="1843" w:type="dxa"/>
            <w:tcBorders>
              <w:bottom w:val="nil"/>
            </w:tcBorders>
          </w:tcPr>
          <w:p w:rsidR="00FB75C9" w:rsidRPr="00B15B8A" w:rsidRDefault="00FB75C9" w:rsidP="00084304">
            <w:pPr>
              <w:jc w:val="center"/>
              <w:rPr>
                <w:b/>
                <w:sz w:val="19"/>
                <w:szCs w:val="19"/>
              </w:rPr>
            </w:pPr>
            <w:r w:rsidRPr="00B15B8A">
              <w:rPr>
                <w:b/>
                <w:sz w:val="19"/>
                <w:szCs w:val="19"/>
              </w:rPr>
              <w:t>2016/17</w:t>
            </w:r>
          </w:p>
        </w:tc>
        <w:tc>
          <w:tcPr>
            <w:tcW w:w="2126" w:type="dxa"/>
            <w:tcBorders>
              <w:bottom w:val="nil"/>
            </w:tcBorders>
          </w:tcPr>
          <w:p w:rsidR="00FB75C9" w:rsidRPr="00B15B8A" w:rsidRDefault="00FB75C9" w:rsidP="00084304">
            <w:pPr>
              <w:jc w:val="center"/>
              <w:rPr>
                <w:b/>
                <w:sz w:val="19"/>
                <w:szCs w:val="19"/>
              </w:rPr>
            </w:pPr>
            <w:r w:rsidRPr="00B15B8A">
              <w:rPr>
                <w:b/>
                <w:sz w:val="19"/>
                <w:szCs w:val="19"/>
              </w:rPr>
              <w:t>2017/18</w:t>
            </w:r>
          </w:p>
        </w:tc>
      </w:tr>
      <w:tr w:rsidR="00084304" w:rsidRPr="00B15B8A" w:rsidTr="00084304">
        <w:tc>
          <w:tcPr>
            <w:tcW w:w="3256" w:type="dxa"/>
            <w:tcBorders>
              <w:top w:val="nil"/>
              <w:bottom w:val="single" w:sz="4" w:space="0" w:color="auto"/>
            </w:tcBorders>
          </w:tcPr>
          <w:p w:rsidR="00084304" w:rsidRPr="00B15B8A" w:rsidRDefault="00084304" w:rsidP="004972D5">
            <w:pPr>
              <w:rPr>
                <w:sz w:val="19"/>
                <w:szCs w:val="19"/>
              </w:rPr>
            </w:pPr>
          </w:p>
        </w:tc>
        <w:tc>
          <w:tcPr>
            <w:tcW w:w="1984" w:type="dxa"/>
            <w:tcBorders>
              <w:top w:val="nil"/>
              <w:bottom w:val="single" w:sz="4" w:space="0" w:color="auto"/>
            </w:tcBorders>
          </w:tcPr>
          <w:p w:rsidR="00084304" w:rsidRPr="00B15B8A" w:rsidRDefault="00084304" w:rsidP="00084304">
            <w:pPr>
              <w:jc w:val="center"/>
              <w:rPr>
                <w:b/>
                <w:sz w:val="19"/>
                <w:szCs w:val="19"/>
              </w:rPr>
            </w:pPr>
            <w:r w:rsidRPr="00B15B8A">
              <w:rPr>
                <w:b/>
                <w:sz w:val="19"/>
                <w:szCs w:val="19"/>
              </w:rPr>
              <w:t>£m</w:t>
            </w:r>
          </w:p>
        </w:tc>
        <w:tc>
          <w:tcPr>
            <w:tcW w:w="1843" w:type="dxa"/>
            <w:tcBorders>
              <w:top w:val="nil"/>
              <w:bottom w:val="single" w:sz="4" w:space="0" w:color="auto"/>
            </w:tcBorders>
          </w:tcPr>
          <w:p w:rsidR="00084304" w:rsidRPr="00B15B8A" w:rsidRDefault="00084304" w:rsidP="00084304">
            <w:pPr>
              <w:jc w:val="center"/>
              <w:rPr>
                <w:b/>
                <w:sz w:val="19"/>
                <w:szCs w:val="19"/>
              </w:rPr>
            </w:pPr>
            <w:r w:rsidRPr="00B15B8A">
              <w:rPr>
                <w:b/>
                <w:sz w:val="19"/>
                <w:szCs w:val="19"/>
              </w:rPr>
              <w:t>£m</w:t>
            </w:r>
          </w:p>
        </w:tc>
        <w:tc>
          <w:tcPr>
            <w:tcW w:w="2126" w:type="dxa"/>
            <w:tcBorders>
              <w:top w:val="nil"/>
              <w:bottom w:val="single" w:sz="4" w:space="0" w:color="auto"/>
            </w:tcBorders>
          </w:tcPr>
          <w:p w:rsidR="00084304" w:rsidRPr="00B15B8A" w:rsidRDefault="00084304" w:rsidP="00084304">
            <w:pPr>
              <w:jc w:val="center"/>
              <w:rPr>
                <w:b/>
                <w:sz w:val="19"/>
                <w:szCs w:val="19"/>
              </w:rPr>
            </w:pPr>
            <w:r w:rsidRPr="00B15B8A">
              <w:rPr>
                <w:b/>
                <w:sz w:val="19"/>
                <w:szCs w:val="19"/>
              </w:rPr>
              <w:t>£m</w:t>
            </w:r>
          </w:p>
        </w:tc>
      </w:tr>
      <w:tr w:rsidR="00585A0D" w:rsidRPr="00B15B8A" w:rsidTr="00084304">
        <w:tc>
          <w:tcPr>
            <w:tcW w:w="3256" w:type="dxa"/>
            <w:tcBorders>
              <w:top w:val="nil"/>
              <w:bottom w:val="single" w:sz="4" w:space="0" w:color="auto"/>
            </w:tcBorders>
          </w:tcPr>
          <w:p w:rsidR="00585A0D" w:rsidRPr="004D588F" w:rsidRDefault="00585A0D" w:rsidP="00585A0D">
            <w:pPr>
              <w:rPr>
                <w:sz w:val="20"/>
                <w:szCs w:val="20"/>
              </w:rPr>
            </w:pPr>
            <w:r>
              <w:rPr>
                <w:sz w:val="20"/>
                <w:szCs w:val="20"/>
              </w:rPr>
              <w:t>Forecast before savings</w:t>
            </w:r>
          </w:p>
        </w:tc>
        <w:tc>
          <w:tcPr>
            <w:tcW w:w="1984" w:type="dxa"/>
            <w:tcBorders>
              <w:top w:val="nil"/>
              <w:bottom w:val="single" w:sz="4" w:space="0" w:color="auto"/>
            </w:tcBorders>
          </w:tcPr>
          <w:p w:rsidR="00585A0D" w:rsidRPr="00F32F81" w:rsidRDefault="00585A0D" w:rsidP="00585A0D">
            <w:pPr>
              <w:jc w:val="right"/>
              <w:rPr>
                <w:sz w:val="20"/>
                <w:szCs w:val="20"/>
              </w:rPr>
            </w:pPr>
            <w:r w:rsidRPr="00FB7ABB">
              <w:rPr>
                <w:noProof/>
                <w:sz w:val="20"/>
                <w:szCs w:val="20"/>
              </w:rPr>
              <w:t>0.989</w:t>
            </w:r>
          </w:p>
        </w:tc>
        <w:tc>
          <w:tcPr>
            <w:tcW w:w="1843" w:type="dxa"/>
            <w:tcBorders>
              <w:top w:val="nil"/>
              <w:bottom w:val="single" w:sz="4" w:space="0" w:color="auto"/>
            </w:tcBorders>
          </w:tcPr>
          <w:p w:rsidR="00585A0D" w:rsidRPr="00F32F81" w:rsidRDefault="00585A0D" w:rsidP="00585A0D">
            <w:pPr>
              <w:jc w:val="right"/>
              <w:rPr>
                <w:sz w:val="20"/>
                <w:szCs w:val="20"/>
              </w:rPr>
            </w:pPr>
            <w:r w:rsidRPr="00FB7ABB">
              <w:rPr>
                <w:noProof/>
                <w:sz w:val="20"/>
                <w:szCs w:val="20"/>
              </w:rPr>
              <w:t>1.380</w:t>
            </w:r>
          </w:p>
        </w:tc>
        <w:tc>
          <w:tcPr>
            <w:tcW w:w="2126" w:type="dxa"/>
            <w:tcBorders>
              <w:top w:val="nil"/>
              <w:bottom w:val="single" w:sz="4" w:space="0" w:color="auto"/>
            </w:tcBorders>
          </w:tcPr>
          <w:p w:rsidR="00585A0D" w:rsidRPr="00F32F81" w:rsidRDefault="00585A0D" w:rsidP="00585A0D">
            <w:pPr>
              <w:jc w:val="right"/>
              <w:rPr>
                <w:sz w:val="20"/>
                <w:szCs w:val="20"/>
              </w:rPr>
            </w:pPr>
            <w:r w:rsidRPr="00FB7ABB">
              <w:rPr>
                <w:noProof/>
                <w:sz w:val="20"/>
                <w:szCs w:val="20"/>
              </w:rPr>
              <w:t>1.460</w:t>
            </w:r>
          </w:p>
        </w:tc>
      </w:tr>
      <w:tr w:rsidR="00585A0D" w:rsidRPr="00B15B8A" w:rsidTr="00C844FA">
        <w:tc>
          <w:tcPr>
            <w:tcW w:w="3256" w:type="dxa"/>
            <w:shd w:val="clear" w:color="auto" w:fill="auto"/>
          </w:tcPr>
          <w:p w:rsidR="00585A0D" w:rsidRDefault="00585A0D" w:rsidP="00585A0D">
            <w:pPr>
              <w:rPr>
                <w:sz w:val="20"/>
                <w:szCs w:val="20"/>
              </w:rPr>
            </w:pPr>
            <w:r>
              <w:rPr>
                <w:sz w:val="20"/>
                <w:szCs w:val="20"/>
              </w:rPr>
              <w:t>Budgeted savings (cumulative)</w:t>
            </w:r>
          </w:p>
        </w:tc>
        <w:tc>
          <w:tcPr>
            <w:tcW w:w="1984" w:type="dxa"/>
            <w:shd w:val="clear" w:color="auto" w:fill="auto"/>
          </w:tcPr>
          <w:p w:rsidR="00585A0D" w:rsidRPr="00F32F81" w:rsidRDefault="00585A0D" w:rsidP="00585A0D">
            <w:pPr>
              <w:jc w:val="right"/>
              <w:rPr>
                <w:sz w:val="20"/>
                <w:szCs w:val="20"/>
              </w:rPr>
            </w:pPr>
            <w:r w:rsidRPr="00FB7ABB">
              <w:rPr>
                <w:noProof/>
                <w:sz w:val="20"/>
                <w:szCs w:val="20"/>
              </w:rPr>
              <w:t>-0.384</w:t>
            </w:r>
          </w:p>
        </w:tc>
        <w:tc>
          <w:tcPr>
            <w:tcW w:w="1843" w:type="dxa"/>
            <w:shd w:val="clear" w:color="auto" w:fill="auto"/>
          </w:tcPr>
          <w:p w:rsidR="00585A0D" w:rsidRPr="00F32F81" w:rsidRDefault="00585A0D" w:rsidP="00585A0D">
            <w:pPr>
              <w:jc w:val="right"/>
              <w:rPr>
                <w:sz w:val="20"/>
                <w:szCs w:val="20"/>
              </w:rPr>
            </w:pPr>
            <w:r w:rsidRPr="00FB7ABB">
              <w:rPr>
                <w:noProof/>
                <w:sz w:val="20"/>
                <w:szCs w:val="20"/>
              </w:rPr>
              <w:t>-0.679</w:t>
            </w:r>
          </w:p>
        </w:tc>
        <w:tc>
          <w:tcPr>
            <w:tcW w:w="2126" w:type="dxa"/>
            <w:shd w:val="clear" w:color="auto" w:fill="auto"/>
          </w:tcPr>
          <w:p w:rsidR="00585A0D" w:rsidRPr="00F32F81" w:rsidRDefault="00585A0D" w:rsidP="00585A0D">
            <w:pPr>
              <w:jc w:val="right"/>
              <w:rPr>
                <w:sz w:val="20"/>
                <w:szCs w:val="20"/>
              </w:rPr>
            </w:pPr>
            <w:r w:rsidRPr="00FB7ABB">
              <w:rPr>
                <w:noProof/>
                <w:sz w:val="20"/>
                <w:szCs w:val="20"/>
              </w:rPr>
              <w:t>-0.744</w:t>
            </w:r>
          </w:p>
        </w:tc>
      </w:tr>
      <w:tr w:rsidR="00585A0D" w:rsidRPr="00B15B8A" w:rsidTr="00C50F5C">
        <w:tc>
          <w:tcPr>
            <w:tcW w:w="3256" w:type="dxa"/>
          </w:tcPr>
          <w:p w:rsidR="00585A0D" w:rsidRDefault="00585A0D" w:rsidP="00585A0D">
            <w:pPr>
              <w:rPr>
                <w:sz w:val="20"/>
                <w:szCs w:val="20"/>
              </w:rPr>
            </w:pPr>
            <w:r>
              <w:rPr>
                <w:sz w:val="20"/>
                <w:szCs w:val="20"/>
              </w:rPr>
              <w:t>Planned net expenditure</w:t>
            </w:r>
            <w:r w:rsidRPr="004D588F">
              <w:rPr>
                <w:sz w:val="20"/>
                <w:szCs w:val="20"/>
              </w:rPr>
              <w:t xml:space="preserve"> </w:t>
            </w:r>
          </w:p>
          <w:p w:rsidR="00585A0D" w:rsidRDefault="00585A0D" w:rsidP="00585A0D">
            <w:pPr>
              <w:rPr>
                <w:sz w:val="20"/>
                <w:szCs w:val="20"/>
              </w:rPr>
            </w:pPr>
            <w:r w:rsidRPr="005B77F6">
              <w:rPr>
                <w:b/>
                <w:sz w:val="20"/>
                <w:szCs w:val="20"/>
              </w:rPr>
              <w:t>(Approved 2015 net budget)</w:t>
            </w:r>
          </w:p>
        </w:tc>
        <w:tc>
          <w:tcPr>
            <w:tcW w:w="1984" w:type="dxa"/>
            <w:tcBorders>
              <w:bottom w:val="single" w:sz="4" w:space="0" w:color="auto"/>
            </w:tcBorders>
          </w:tcPr>
          <w:p w:rsidR="00585A0D" w:rsidRPr="00B25405" w:rsidRDefault="00585A0D" w:rsidP="00585A0D">
            <w:pPr>
              <w:jc w:val="right"/>
              <w:rPr>
                <w:sz w:val="20"/>
                <w:szCs w:val="20"/>
              </w:rPr>
            </w:pPr>
            <w:r w:rsidRPr="00FB7ABB">
              <w:rPr>
                <w:noProof/>
                <w:sz w:val="20"/>
                <w:szCs w:val="20"/>
              </w:rPr>
              <w:t>0.605</w:t>
            </w:r>
          </w:p>
        </w:tc>
        <w:tc>
          <w:tcPr>
            <w:tcW w:w="1843" w:type="dxa"/>
            <w:tcBorders>
              <w:bottom w:val="single" w:sz="4" w:space="0" w:color="auto"/>
            </w:tcBorders>
          </w:tcPr>
          <w:p w:rsidR="00585A0D" w:rsidRPr="00B25405" w:rsidRDefault="00585A0D" w:rsidP="00585A0D">
            <w:pPr>
              <w:jc w:val="right"/>
              <w:rPr>
                <w:sz w:val="20"/>
                <w:szCs w:val="20"/>
              </w:rPr>
            </w:pPr>
            <w:r w:rsidRPr="00FB7ABB">
              <w:rPr>
                <w:noProof/>
                <w:sz w:val="20"/>
                <w:szCs w:val="20"/>
              </w:rPr>
              <w:t>0.701</w:t>
            </w:r>
          </w:p>
        </w:tc>
        <w:tc>
          <w:tcPr>
            <w:tcW w:w="2126" w:type="dxa"/>
            <w:tcBorders>
              <w:bottom w:val="single" w:sz="4" w:space="0" w:color="auto"/>
            </w:tcBorders>
          </w:tcPr>
          <w:p w:rsidR="00585A0D" w:rsidRPr="00B25405" w:rsidRDefault="00585A0D" w:rsidP="00585A0D">
            <w:pPr>
              <w:jc w:val="right"/>
              <w:rPr>
                <w:sz w:val="20"/>
                <w:szCs w:val="20"/>
              </w:rPr>
            </w:pPr>
            <w:r w:rsidRPr="00FB7ABB">
              <w:rPr>
                <w:noProof/>
                <w:sz w:val="20"/>
                <w:szCs w:val="20"/>
              </w:rPr>
              <w:t>0.716</w:t>
            </w:r>
          </w:p>
        </w:tc>
      </w:tr>
      <w:tr w:rsidR="00585A0D" w:rsidRPr="00B15B8A" w:rsidTr="00C844FA">
        <w:tc>
          <w:tcPr>
            <w:tcW w:w="3256" w:type="dxa"/>
            <w:tcBorders>
              <w:right w:val="single" w:sz="4" w:space="0" w:color="auto"/>
            </w:tcBorders>
            <w:shd w:val="clear" w:color="auto" w:fill="D9D9D9" w:themeFill="background1" w:themeFillShade="D9"/>
          </w:tcPr>
          <w:p w:rsidR="00585A0D" w:rsidRPr="001774BD" w:rsidRDefault="00585A0D" w:rsidP="00585A0D">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0D" w:rsidRPr="00B25405" w:rsidRDefault="00585A0D" w:rsidP="00585A0D">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0D" w:rsidRPr="00B25405" w:rsidRDefault="00585A0D" w:rsidP="00585A0D">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0D" w:rsidRPr="00B25405" w:rsidRDefault="00585A0D" w:rsidP="00585A0D">
            <w:pPr>
              <w:jc w:val="right"/>
              <w:rPr>
                <w:sz w:val="20"/>
                <w:szCs w:val="20"/>
              </w:rPr>
            </w:pPr>
          </w:p>
        </w:tc>
      </w:tr>
      <w:tr w:rsidR="00585A0D" w:rsidRPr="00B15B8A" w:rsidTr="005614D5">
        <w:tc>
          <w:tcPr>
            <w:tcW w:w="3256" w:type="dxa"/>
            <w:tcBorders>
              <w:right w:val="single" w:sz="4" w:space="0" w:color="auto"/>
            </w:tcBorders>
            <w:shd w:val="clear" w:color="auto" w:fill="auto"/>
          </w:tcPr>
          <w:p w:rsidR="00585A0D" w:rsidRPr="00E43B74" w:rsidRDefault="00585A0D" w:rsidP="00585A0D">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5A0D" w:rsidRPr="00B25405" w:rsidRDefault="00585A0D" w:rsidP="00585A0D">
            <w:pPr>
              <w:jc w:val="right"/>
              <w:rPr>
                <w:sz w:val="20"/>
                <w:szCs w:val="20"/>
              </w:rPr>
            </w:pPr>
            <w:r w:rsidRPr="00FB7ABB">
              <w:rPr>
                <w:noProof/>
                <w:sz w:val="20"/>
                <w:szCs w:val="20"/>
              </w:rPr>
              <w:t>-0.081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85A0D" w:rsidRPr="00B25405" w:rsidRDefault="00585A0D" w:rsidP="00585A0D">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85A0D" w:rsidRPr="00B25405" w:rsidRDefault="00585A0D" w:rsidP="00585A0D">
            <w:pPr>
              <w:jc w:val="right"/>
              <w:rPr>
                <w:sz w:val="20"/>
                <w:szCs w:val="20"/>
              </w:rPr>
            </w:pPr>
          </w:p>
        </w:tc>
      </w:tr>
      <w:tr w:rsidR="00585A0D" w:rsidRPr="00B15B8A" w:rsidTr="00C50F5C">
        <w:tc>
          <w:tcPr>
            <w:tcW w:w="3256" w:type="dxa"/>
            <w:tcBorders>
              <w:right w:val="single" w:sz="4" w:space="0" w:color="auto"/>
            </w:tcBorders>
          </w:tcPr>
          <w:p w:rsidR="00585A0D" w:rsidRPr="00EA1D7C" w:rsidRDefault="00585A0D" w:rsidP="00585A0D">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r w:rsidRPr="00FB7ABB">
              <w:rPr>
                <w:noProof/>
                <w:sz w:val="20"/>
                <w:szCs w:val="20"/>
              </w:rPr>
              <w:t>-0.043</w:t>
            </w:r>
          </w:p>
        </w:tc>
        <w:tc>
          <w:tcPr>
            <w:tcW w:w="2126"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r w:rsidRPr="00FB7ABB">
              <w:rPr>
                <w:noProof/>
                <w:sz w:val="20"/>
                <w:szCs w:val="20"/>
              </w:rPr>
              <w:t>-0.145</w:t>
            </w:r>
          </w:p>
        </w:tc>
      </w:tr>
      <w:tr w:rsidR="00585A0D" w:rsidRPr="00B15B8A" w:rsidTr="00C50F5C">
        <w:tc>
          <w:tcPr>
            <w:tcW w:w="3256" w:type="dxa"/>
            <w:tcBorders>
              <w:right w:val="single" w:sz="4" w:space="0" w:color="auto"/>
            </w:tcBorders>
          </w:tcPr>
          <w:p w:rsidR="00585A0D" w:rsidRPr="00EA1D7C" w:rsidRDefault="00585A0D" w:rsidP="00585A0D">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r w:rsidRPr="00FB7ABB">
              <w:rPr>
                <w:noProof/>
                <w:sz w:val="20"/>
                <w:szCs w:val="20"/>
              </w:rPr>
              <w:t>0.045</w:t>
            </w:r>
          </w:p>
        </w:tc>
        <w:tc>
          <w:tcPr>
            <w:tcW w:w="2126"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r w:rsidRPr="00FB7ABB">
              <w:rPr>
                <w:noProof/>
                <w:sz w:val="20"/>
                <w:szCs w:val="20"/>
              </w:rPr>
              <w:t>0.048</w:t>
            </w:r>
          </w:p>
        </w:tc>
      </w:tr>
      <w:tr w:rsidR="00585A0D" w:rsidRPr="00B15B8A" w:rsidTr="00C844FA">
        <w:tc>
          <w:tcPr>
            <w:tcW w:w="3256" w:type="dxa"/>
            <w:shd w:val="clear" w:color="auto" w:fill="auto"/>
          </w:tcPr>
          <w:p w:rsidR="00585A0D" w:rsidRPr="004D588F" w:rsidRDefault="00585A0D" w:rsidP="00585A0D">
            <w:pPr>
              <w:rPr>
                <w:sz w:val="20"/>
                <w:szCs w:val="20"/>
              </w:rPr>
            </w:pPr>
            <w:r>
              <w:rPr>
                <w:sz w:val="20"/>
                <w:szCs w:val="20"/>
              </w:rPr>
              <w:t>Undeliverable savings (cumulative)</w:t>
            </w:r>
          </w:p>
        </w:tc>
        <w:tc>
          <w:tcPr>
            <w:tcW w:w="1984" w:type="dxa"/>
            <w:shd w:val="clear" w:color="auto" w:fill="auto"/>
          </w:tcPr>
          <w:p w:rsidR="00585A0D" w:rsidRPr="00C844FA" w:rsidRDefault="00585A0D" w:rsidP="00585A0D">
            <w:pPr>
              <w:jc w:val="right"/>
              <w:rPr>
                <w:sz w:val="20"/>
                <w:szCs w:val="20"/>
              </w:rPr>
            </w:pPr>
            <w:r w:rsidRPr="00FB7ABB">
              <w:rPr>
                <w:noProof/>
                <w:sz w:val="20"/>
                <w:szCs w:val="20"/>
              </w:rPr>
              <w:t>0.000</w:t>
            </w:r>
          </w:p>
        </w:tc>
        <w:tc>
          <w:tcPr>
            <w:tcW w:w="1843" w:type="dxa"/>
            <w:shd w:val="clear" w:color="auto" w:fill="auto"/>
          </w:tcPr>
          <w:p w:rsidR="00585A0D" w:rsidRPr="00C844FA" w:rsidRDefault="00585A0D" w:rsidP="00585A0D">
            <w:pPr>
              <w:jc w:val="right"/>
              <w:rPr>
                <w:sz w:val="20"/>
                <w:szCs w:val="20"/>
              </w:rPr>
            </w:pPr>
            <w:r w:rsidRPr="00FB7ABB">
              <w:rPr>
                <w:noProof/>
                <w:sz w:val="20"/>
                <w:szCs w:val="20"/>
              </w:rPr>
              <w:t>0.000</w:t>
            </w:r>
          </w:p>
        </w:tc>
        <w:tc>
          <w:tcPr>
            <w:tcW w:w="2126" w:type="dxa"/>
            <w:shd w:val="clear" w:color="auto" w:fill="auto"/>
          </w:tcPr>
          <w:p w:rsidR="00585A0D" w:rsidRPr="00C844FA" w:rsidRDefault="00585A0D" w:rsidP="00585A0D">
            <w:pPr>
              <w:jc w:val="right"/>
              <w:rPr>
                <w:sz w:val="20"/>
                <w:szCs w:val="20"/>
              </w:rPr>
            </w:pPr>
            <w:r w:rsidRPr="00FB7ABB">
              <w:rPr>
                <w:noProof/>
                <w:sz w:val="20"/>
                <w:szCs w:val="20"/>
              </w:rPr>
              <w:t>0.000</w:t>
            </w:r>
          </w:p>
        </w:tc>
      </w:tr>
      <w:tr w:rsidR="00585A0D" w:rsidRPr="00B15B8A" w:rsidTr="00C844FA">
        <w:tc>
          <w:tcPr>
            <w:tcW w:w="3256" w:type="dxa"/>
            <w:shd w:val="clear" w:color="auto" w:fill="auto"/>
          </w:tcPr>
          <w:p w:rsidR="00585A0D" w:rsidRDefault="00585A0D" w:rsidP="00585A0D">
            <w:pPr>
              <w:rPr>
                <w:sz w:val="20"/>
                <w:szCs w:val="20"/>
              </w:rPr>
            </w:pPr>
            <w:r>
              <w:rPr>
                <w:sz w:val="20"/>
                <w:szCs w:val="20"/>
              </w:rPr>
              <w:t>Loss of grant (cumulative)</w:t>
            </w:r>
          </w:p>
        </w:tc>
        <w:tc>
          <w:tcPr>
            <w:tcW w:w="1984" w:type="dxa"/>
            <w:shd w:val="clear" w:color="auto" w:fill="auto"/>
          </w:tcPr>
          <w:p w:rsidR="00585A0D" w:rsidRPr="00C844FA" w:rsidRDefault="00585A0D" w:rsidP="00585A0D">
            <w:pPr>
              <w:jc w:val="right"/>
              <w:rPr>
                <w:sz w:val="20"/>
                <w:szCs w:val="20"/>
              </w:rPr>
            </w:pPr>
            <w:r w:rsidRPr="00FB7ABB">
              <w:rPr>
                <w:noProof/>
                <w:sz w:val="20"/>
                <w:szCs w:val="20"/>
              </w:rPr>
              <w:t>0.000</w:t>
            </w:r>
          </w:p>
        </w:tc>
        <w:tc>
          <w:tcPr>
            <w:tcW w:w="1843" w:type="dxa"/>
            <w:shd w:val="clear" w:color="auto" w:fill="auto"/>
          </w:tcPr>
          <w:p w:rsidR="00585A0D" w:rsidRPr="00C844FA" w:rsidRDefault="00585A0D" w:rsidP="00585A0D">
            <w:pPr>
              <w:jc w:val="right"/>
              <w:rPr>
                <w:sz w:val="20"/>
                <w:szCs w:val="20"/>
              </w:rPr>
            </w:pPr>
            <w:r w:rsidRPr="00FB7ABB">
              <w:rPr>
                <w:noProof/>
                <w:sz w:val="20"/>
                <w:szCs w:val="20"/>
              </w:rPr>
              <w:t>0.000</w:t>
            </w:r>
          </w:p>
        </w:tc>
        <w:tc>
          <w:tcPr>
            <w:tcW w:w="2126" w:type="dxa"/>
            <w:shd w:val="clear" w:color="auto" w:fill="auto"/>
          </w:tcPr>
          <w:p w:rsidR="00585A0D" w:rsidRPr="00C844FA" w:rsidRDefault="00585A0D" w:rsidP="00585A0D">
            <w:pPr>
              <w:jc w:val="right"/>
              <w:rPr>
                <w:sz w:val="20"/>
                <w:szCs w:val="20"/>
              </w:rPr>
            </w:pPr>
            <w:r w:rsidRPr="00FB7ABB">
              <w:rPr>
                <w:noProof/>
                <w:sz w:val="20"/>
                <w:szCs w:val="20"/>
              </w:rPr>
              <w:t>0.000</w:t>
            </w:r>
          </w:p>
        </w:tc>
      </w:tr>
      <w:tr w:rsidR="00585A0D" w:rsidRPr="00B15B8A" w:rsidTr="00C844FA">
        <w:tc>
          <w:tcPr>
            <w:tcW w:w="3256" w:type="dxa"/>
            <w:tcBorders>
              <w:bottom w:val="single" w:sz="4" w:space="0" w:color="auto"/>
            </w:tcBorders>
            <w:shd w:val="clear" w:color="auto" w:fill="BFBFBF" w:themeFill="background1" w:themeFillShade="BF"/>
          </w:tcPr>
          <w:p w:rsidR="00585A0D" w:rsidRPr="00EA1D7C" w:rsidRDefault="00585A0D" w:rsidP="00585A0D">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585A0D" w:rsidRPr="00F32F81" w:rsidRDefault="00585A0D" w:rsidP="00585A0D">
            <w:pPr>
              <w:jc w:val="right"/>
              <w:rPr>
                <w:b/>
                <w:sz w:val="20"/>
                <w:szCs w:val="20"/>
              </w:rPr>
            </w:pPr>
            <w:r w:rsidRPr="00FB7ABB">
              <w:rPr>
                <w:b/>
                <w:noProof/>
                <w:sz w:val="20"/>
                <w:szCs w:val="20"/>
              </w:rPr>
              <w:t>0.524</w:t>
            </w:r>
          </w:p>
        </w:tc>
        <w:tc>
          <w:tcPr>
            <w:tcW w:w="1843" w:type="dxa"/>
            <w:tcBorders>
              <w:bottom w:val="single" w:sz="4" w:space="0" w:color="auto"/>
            </w:tcBorders>
            <w:shd w:val="clear" w:color="auto" w:fill="BFBFBF" w:themeFill="background1" w:themeFillShade="BF"/>
          </w:tcPr>
          <w:p w:rsidR="00585A0D" w:rsidRPr="00F32F81" w:rsidRDefault="00585A0D" w:rsidP="00585A0D">
            <w:pPr>
              <w:jc w:val="right"/>
              <w:rPr>
                <w:b/>
                <w:sz w:val="20"/>
                <w:szCs w:val="20"/>
              </w:rPr>
            </w:pPr>
            <w:r w:rsidRPr="00FB7ABB">
              <w:rPr>
                <w:b/>
                <w:noProof/>
                <w:sz w:val="20"/>
                <w:szCs w:val="20"/>
              </w:rPr>
              <w:t>0.703</w:t>
            </w:r>
          </w:p>
        </w:tc>
        <w:tc>
          <w:tcPr>
            <w:tcW w:w="2126" w:type="dxa"/>
            <w:tcBorders>
              <w:bottom w:val="single" w:sz="4" w:space="0" w:color="auto"/>
            </w:tcBorders>
            <w:shd w:val="clear" w:color="auto" w:fill="BFBFBF" w:themeFill="background1" w:themeFillShade="BF"/>
          </w:tcPr>
          <w:p w:rsidR="00585A0D" w:rsidRPr="00F32F81" w:rsidRDefault="00585A0D" w:rsidP="00585A0D">
            <w:pPr>
              <w:jc w:val="right"/>
              <w:rPr>
                <w:b/>
                <w:sz w:val="20"/>
                <w:szCs w:val="20"/>
              </w:rPr>
            </w:pPr>
            <w:r w:rsidRPr="00FB7ABB">
              <w:rPr>
                <w:b/>
                <w:noProof/>
                <w:sz w:val="20"/>
                <w:szCs w:val="20"/>
              </w:rPr>
              <w:t>0.619</w:t>
            </w:r>
          </w:p>
        </w:tc>
      </w:tr>
      <w:tr w:rsidR="00585A0D" w:rsidRPr="00B15B8A" w:rsidTr="00C844FA">
        <w:tc>
          <w:tcPr>
            <w:tcW w:w="3256" w:type="dxa"/>
            <w:tcBorders>
              <w:bottom w:val="single" w:sz="4" w:space="0" w:color="auto"/>
            </w:tcBorders>
            <w:shd w:val="clear" w:color="auto" w:fill="auto"/>
          </w:tcPr>
          <w:p w:rsidR="00585A0D" w:rsidRPr="00F26FCF" w:rsidRDefault="00585A0D" w:rsidP="00585A0D">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585A0D" w:rsidRPr="00B25405" w:rsidRDefault="00585A0D" w:rsidP="00585A0D">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585A0D" w:rsidRPr="00B25405" w:rsidRDefault="00585A0D" w:rsidP="00585A0D">
            <w:pPr>
              <w:jc w:val="right"/>
              <w:rPr>
                <w:sz w:val="20"/>
                <w:szCs w:val="20"/>
              </w:rPr>
            </w:pPr>
            <w:r w:rsidRPr="00FB7ABB">
              <w:rPr>
                <w:noProof/>
                <w:sz w:val="20"/>
                <w:szCs w:val="20"/>
              </w:rPr>
              <w:t>0.161</w:t>
            </w:r>
          </w:p>
        </w:tc>
        <w:tc>
          <w:tcPr>
            <w:tcW w:w="2126" w:type="dxa"/>
            <w:tcBorders>
              <w:bottom w:val="single" w:sz="4" w:space="0" w:color="auto"/>
            </w:tcBorders>
            <w:shd w:val="clear" w:color="auto" w:fill="auto"/>
          </w:tcPr>
          <w:p w:rsidR="00585A0D" w:rsidRPr="00B25405" w:rsidRDefault="00585A0D" w:rsidP="00585A0D">
            <w:pPr>
              <w:jc w:val="right"/>
              <w:rPr>
                <w:sz w:val="20"/>
                <w:szCs w:val="20"/>
              </w:rPr>
            </w:pPr>
            <w:r w:rsidRPr="00FB7ABB">
              <w:rPr>
                <w:noProof/>
                <w:sz w:val="20"/>
                <w:szCs w:val="20"/>
              </w:rPr>
              <w:t>0.164</w:t>
            </w:r>
          </w:p>
        </w:tc>
      </w:tr>
      <w:tr w:rsidR="00585A0D" w:rsidRPr="00B15B8A" w:rsidTr="00F26FCF">
        <w:tc>
          <w:tcPr>
            <w:tcW w:w="3256" w:type="dxa"/>
            <w:tcBorders>
              <w:bottom w:val="single" w:sz="4" w:space="0" w:color="auto"/>
            </w:tcBorders>
            <w:shd w:val="clear" w:color="auto" w:fill="AEAAAA" w:themeFill="background2" w:themeFillShade="BF"/>
          </w:tcPr>
          <w:p w:rsidR="00585A0D" w:rsidRPr="00F26FCF" w:rsidRDefault="00585A0D" w:rsidP="00585A0D">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585A0D" w:rsidRPr="00F32F81" w:rsidRDefault="00585A0D" w:rsidP="00585A0D">
            <w:pPr>
              <w:jc w:val="right"/>
              <w:rPr>
                <w:b/>
                <w:sz w:val="20"/>
                <w:szCs w:val="20"/>
              </w:rPr>
            </w:pPr>
            <w:r w:rsidRPr="00FB7ABB">
              <w:rPr>
                <w:b/>
                <w:noProof/>
                <w:sz w:val="20"/>
                <w:szCs w:val="20"/>
              </w:rPr>
              <w:t>0.524</w:t>
            </w:r>
          </w:p>
        </w:tc>
        <w:tc>
          <w:tcPr>
            <w:tcW w:w="1843" w:type="dxa"/>
            <w:tcBorders>
              <w:bottom w:val="single" w:sz="4" w:space="0" w:color="auto"/>
            </w:tcBorders>
            <w:shd w:val="clear" w:color="auto" w:fill="AEAAAA" w:themeFill="background2" w:themeFillShade="BF"/>
          </w:tcPr>
          <w:p w:rsidR="00585A0D" w:rsidRPr="00F32F81" w:rsidRDefault="00585A0D" w:rsidP="00585A0D">
            <w:pPr>
              <w:jc w:val="right"/>
              <w:rPr>
                <w:b/>
                <w:sz w:val="20"/>
                <w:szCs w:val="20"/>
              </w:rPr>
            </w:pPr>
            <w:r w:rsidRPr="00FB7ABB">
              <w:rPr>
                <w:b/>
                <w:noProof/>
                <w:sz w:val="20"/>
                <w:szCs w:val="20"/>
              </w:rPr>
              <w:t>0.864</w:t>
            </w:r>
          </w:p>
        </w:tc>
        <w:tc>
          <w:tcPr>
            <w:tcW w:w="2126" w:type="dxa"/>
            <w:tcBorders>
              <w:bottom w:val="single" w:sz="4" w:space="0" w:color="auto"/>
            </w:tcBorders>
            <w:shd w:val="clear" w:color="auto" w:fill="AEAAAA" w:themeFill="background2" w:themeFillShade="BF"/>
          </w:tcPr>
          <w:p w:rsidR="00585A0D" w:rsidRPr="00F32F81" w:rsidRDefault="00585A0D" w:rsidP="00585A0D">
            <w:pPr>
              <w:jc w:val="right"/>
              <w:rPr>
                <w:b/>
                <w:sz w:val="20"/>
                <w:szCs w:val="20"/>
              </w:rPr>
            </w:pPr>
            <w:r w:rsidRPr="00FB7ABB">
              <w:rPr>
                <w:b/>
                <w:noProof/>
                <w:sz w:val="20"/>
                <w:szCs w:val="20"/>
              </w:rPr>
              <w:t>0.783</w:t>
            </w:r>
          </w:p>
        </w:tc>
      </w:tr>
      <w:tr w:rsidR="00585A0D" w:rsidRPr="00B15B8A" w:rsidTr="00C844FA">
        <w:tc>
          <w:tcPr>
            <w:tcW w:w="3256" w:type="dxa"/>
            <w:shd w:val="clear" w:color="auto" w:fill="auto"/>
          </w:tcPr>
          <w:p w:rsidR="00585A0D" w:rsidRPr="00B25405" w:rsidRDefault="00585A0D" w:rsidP="00585A0D">
            <w:pPr>
              <w:rPr>
                <w:sz w:val="20"/>
                <w:szCs w:val="20"/>
              </w:rPr>
            </w:pPr>
            <w:r>
              <w:rPr>
                <w:sz w:val="20"/>
                <w:szCs w:val="20"/>
              </w:rPr>
              <w:t>Proposed risk</w:t>
            </w:r>
            <w:r w:rsidRPr="00B25405">
              <w:rPr>
                <w:sz w:val="20"/>
                <w:szCs w:val="20"/>
              </w:rPr>
              <w:t xml:space="preserve"> reserve provision</w:t>
            </w:r>
            <w:r w:rsidR="00F944E3">
              <w:rPr>
                <w:sz w:val="20"/>
                <w:szCs w:val="20"/>
              </w:rPr>
              <w:t xml:space="preserve"> (discrete year)</w:t>
            </w:r>
          </w:p>
        </w:tc>
        <w:tc>
          <w:tcPr>
            <w:tcW w:w="1984" w:type="dxa"/>
            <w:shd w:val="clear" w:color="auto" w:fill="auto"/>
          </w:tcPr>
          <w:p w:rsidR="00585A0D" w:rsidRPr="00B25405" w:rsidRDefault="00585A0D" w:rsidP="00585A0D">
            <w:pPr>
              <w:jc w:val="right"/>
              <w:rPr>
                <w:sz w:val="20"/>
                <w:szCs w:val="20"/>
              </w:rPr>
            </w:pPr>
          </w:p>
        </w:tc>
        <w:tc>
          <w:tcPr>
            <w:tcW w:w="1843" w:type="dxa"/>
            <w:shd w:val="clear" w:color="auto" w:fill="auto"/>
          </w:tcPr>
          <w:p w:rsidR="00585A0D" w:rsidRPr="00B25405" w:rsidRDefault="00585A0D" w:rsidP="00585A0D">
            <w:pPr>
              <w:jc w:val="right"/>
              <w:rPr>
                <w:sz w:val="20"/>
                <w:szCs w:val="20"/>
              </w:rPr>
            </w:pPr>
            <w:r w:rsidRPr="00FB7ABB">
              <w:rPr>
                <w:noProof/>
                <w:sz w:val="20"/>
                <w:szCs w:val="20"/>
              </w:rPr>
              <w:t>0.000</w:t>
            </w:r>
          </w:p>
        </w:tc>
        <w:tc>
          <w:tcPr>
            <w:tcW w:w="2126" w:type="dxa"/>
            <w:shd w:val="clear" w:color="auto" w:fill="auto"/>
          </w:tcPr>
          <w:p w:rsidR="00585A0D" w:rsidRPr="00B25405" w:rsidRDefault="00585A0D" w:rsidP="00585A0D">
            <w:pPr>
              <w:jc w:val="right"/>
              <w:rPr>
                <w:sz w:val="20"/>
                <w:szCs w:val="20"/>
              </w:rPr>
            </w:pPr>
            <w:r w:rsidRPr="00FB7ABB">
              <w:rPr>
                <w:noProof/>
                <w:sz w:val="20"/>
                <w:szCs w:val="20"/>
              </w:rPr>
              <w:t>0.000</w:t>
            </w:r>
          </w:p>
        </w:tc>
      </w:tr>
      <w:tr w:rsidR="00585A0D" w:rsidRPr="00B15B8A" w:rsidTr="009E2D95">
        <w:tc>
          <w:tcPr>
            <w:tcW w:w="3256" w:type="dxa"/>
          </w:tcPr>
          <w:p w:rsidR="00585A0D" w:rsidRPr="00B15B8A" w:rsidRDefault="00585A0D" w:rsidP="00585A0D">
            <w:pPr>
              <w:rPr>
                <w:sz w:val="19"/>
                <w:szCs w:val="19"/>
              </w:rPr>
            </w:pPr>
            <w:r w:rsidRPr="00B15B8A">
              <w:rPr>
                <w:sz w:val="19"/>
                <w:szCs w:val="19"/>
              </w:rPr>
              <w:t xml:space="preserve">Policy Decisions needed to deliver the target savings </w:t>
            </w:r>
          </w:p>
          <w:p w:rsidR="00585A0D" w:rsidRPr="00B15B8A" w:rsidRDefault="00585A0D" w:rsidP="00585A0D">
            <w:pPr>
              <w:rPr>
                <w:sz w:val="19"/>
                <w:szCs w:val="19"/>
              </w:rPr>
            </w:pPr>
          </w:p>
        </w:tc>
        <w:tc>
          <w:tcPr>
            <w:tcW w:w="5953" w:type="dxa"/>
            <w:gridSpan w:val="3"/>
          </w:tcPr>
          <w:p w:rsidR="00585A0D" w:rsidRDefault="00585A0D" w:rsidP="00585A0D">
            <w:pPr>
              <w:rPr>
                <w:sz w:val="19"/>
                <w:szCs w:val="19"/>
              </w:rPr>
            </w:pPr>
            <w:r>
              <w:rPr>
                <w:sz w:val="19"/>
                <w:szCs w:val="19"/>
              </w:rPr>
              <w:t>This service has prior year budget savings of £360k.  Whilst these savings still need to be achieved there is a specific additional requirement for the service in respect of statutory compliance.</w:t>
            </w:r>
          </w:p>
          <w:p w:rsidR="00585A0D" w:rsidRDefault="00585A0D" w:rsidP="00585A0D">
            <w:pPr>
              <w:rPr>
                <w:sz w:val="19"/>
                <w:szCs w:val="19"/>
              </w:rPr>
            </w:pPr>
          </w:p>
          <w:p w:rsidR="00585A0D" w:rsidRDefault="00585A0D" w:rsidP="00585A0D">
            <w:pPr>
              <w:rPr>
                <w:sz w:val="19"/>
                <w:szCs w:val="19"/>
              </w:rPr>
            </w:pPr>
            <w:r>
              <w:rPr>
                <w:sz w:val="19"/>
                <w:szCs w:val="19"/>
              </w:rPr>
              <w:t>To make specific provision in respect of statutory compliance in relation to premises management.</w:t>
            </w:r>
          </w:p>
          <w:p w:rsidR="00585A0D" w:rsidRDefault="00585A0D" w:rsidP="00585A0D">
            <w:pPr>
              <w:rPr>
                <w:sz w:val="19"/>
                <w:szCs w:val="19"/>
              </w:rPr>
            </w:pPr>
          </w:p>
          <w:p w:rsidR="00585A0D" w:rsidRDefault="00585A0D" w:rsidP="00585A0D">
            <w:pPr>
              <w:rPr>
                <w:sz w:val="19"/>
                <w:szCs w:val="19"/>
              </w:rPr>
            </w:pPr>
            <w:r>
              <w:rPr>
                <w:sz w:val="19"/>
                <w:szCs w:val="19"/>
              </w:rPr>
              <w:t>To establish 3 Development and Compliance Surveyor posts at grade 9.</w:t>
            </w:r>
          </w:p>
          <w:p w:rsidR="00585A0D" w:rsidRPr="00B15B8A" w:rsidRDefault="00585A0D" w:rsidP="00585A0D">
            <w:pPr>
              <w:rPr>
                <w:sz w:val="19"/>
                <w:szCs w:val="19"/>
              </w:rPr>
            </w:pPr>
          </w:p>
        </w:tc>
      </w:tr>
      <w:tr w:rsidR="00585A0D" w:rsidRPr="00B15B8A" w:rsidTr="009E2D95">
        <w:tc>
          <w:tcPr>
            <w:tcW w:w="3256" w:type="dxa"/>
          </w:tcPr>
          <w:p w:rsidR="00585A0D" w:rsidRPr="00B15B8A" w:rsidRDefault="00585A0D" w:rsidP="00585A0D">
            <w:pPr>
              <w:rPr>
                <w:sz w:val="19"/>
                <w:szCs w:val="19"/>
              </w:rPr>
            </w:pPr>
            <w:r w:rsidRPr="00B15B8A">
              <w:rPr>
                <w:sz w:val="19"/>
                <w:szCs w:val="19"/>
              </w:rPr>
              <w:t>Impact on service</w:t>
            </w:r>
          </w:p>
        </w:tc>
        <w:tc>
          <w:tcPr>
            <w:tcW w:w="5953" w:type="dxa"/>
            <w:gridSpan w:val="3"/>
          </w:tcPr>
          <w:p w:rsidR="00585A0D" w:rsidRDefault="00585A0D" w:rsidP="00585A0D">
            <w:pPr>
              <w:rPr>
                <w:sz w:val="19"/>
                <w:szCs w:val="19"/>
              </w:rPr>
            </w:pPr>
            <w:r>
              <w:rPr>
                <w:sz w:val="19"/>
                <w:szCs w:val="19"/>
              </w:rPr>
              <w:t xml:space="preserve">For a number of years the statutory compliance responsibilities of the council in respect of premises management has been dispersed across a range of services with no specific allocation of responsibilities and resources.  As part of the restructuring of the council in April 2015 this specific responsibility was included within the Property Asset Management service.  The delay in the implementation of phase 2 of the structure meant that these specific posts have not yet been established. </w:t>
            </w:r>
          </w:p>
          <w:p w:rsidR="00585A0D" w:rsidRPr="00B15B8A" w:rsidRDefault="00585A0D" w:rsidP="00585A0D">
            <w:pPr>
              <w:rPr>
                <w:sz w:val="19"/>
                <w:szCs w:val="19"/>
              </w:rPr>
            </w:pPr>
          </w:p>
        </w:tc>
      </w:tr>
      <w:tr w:rsidR="00585A0D" w:rsidRPr="00B15B8A" w:rsidTr="009E2D95">
        <w:tc>
          <w:tcPr>
            <w:tcW w:w="3256" w:type="dxa"/>
          </w:tcPr>
          <w:p w:rsidR="00585A0D" w:rsidRPr="00B15B8A" w:rsidRDefault="00585A0D" w:rsidP="00585A0D">
            <w:pPr>
              <w:rPr>
                <w:sz w:val="19"/>
                <w:szCs w:val="19"/>
              </w:rPr>
            </w:pPr>
            <w:r w:rsidRPr="00B15B8A">
              <w:rPr>
                <w:sz w:val="19"/>
                <w:szCs w:val="19"/>
              </w:rPr>
              <w:t>Actions needed to deliver the target savings</w:t>
            </w:r>
          </w:p>
        </w:tc>
        <w:tc>
          <w:tcPr>
            <w:tcW w:w="5953" w:type="dxa"/>
            <w:gridSpan w:val="3"/>
          </w:tcPr>
          <w:p w:rsidR="00585A0D" w:rsidRDefault="00585A0D" w:rsidP="00585A0D">
            <w:pPr>
              <w:rPr>
                <w:sz w:val="19"/>
                <w:szCs w:val="19"/>
              </w:rPr>
            </w:pPr>
            <w:r>
              <w:rPr>
                <w:sz w:val="19"/>
                <w:szCs w:val="19"/>
              </w:rPr>
              <w:t>Establish the new Development and Compliance posts with effect from 1</w:t>
            </w:r>
            <w:r w:rsidRPr="00BF4577">
              <w:rPr>
                <w:sz w:val="19"/>
                <w:szCs w:val="19"/>
                <w:vertAlign w:val="superscript"/>
              </w:rPr>
              <w:t>st</w:t>
            </w:r>
            <w:r>
              <w:rPr>
                <w:sz w:val="19"/>
                <w:szCs w:val="19"/>
              </w:rPr>
              <w:t xml:space="preserve"> December 2015, with immediate recruitment.</w:t>
            </w:r>
          </w:p>
          <w:p w:rsidR="00585A0D" w:rsidRDefault="00585A0D" w:rsidP="00585A0D">
            <w:pPr>
              <w:rPr>
                <w:sz w:val="19"/>
                <w:szCs w:val="19"/>
              </w:rPr>
            </w:pPr>
          </w:p>
          <w:p w:rsidR="00585A0D" w:rsidRDefault="00585A0D" w:rsidP="00585A0D">
            <w:pPr>
              <w:rPr>
                <w:sz w:val="19"/>
                <w:szCs w:val="19"/>
              </w:rPr>
            </w:pPr>
            <w:r>
              <w:rPr>
                <w:sz w:val="19"/>
                <w:szCs w:val="19"/>
              </w:rPr>
              <w:t>Reconfigure the service and consult on the new staffing structure by 31</w:t>
            </w:r>
            <w:r w:rsidRPr="00556BDB">
              <w:rPr>
                <w:sz w:val="19"/>
                <w:szCs w:val="19"/>
                <w:vertAlign w:val="superscript"/>
              </w:rPr>
              <w:t>st</w:t>
            </w:r>
            <w:r>
              <w:rPr>
                <w:sz w:val="19"/>
                <w:szCs w:val="19"/>
              </w:rPr>
              <w:t xml:space="preserve"> December 2015, for implementation as soon as possible in 2016.</w:t>
            </w:r>
          </w:p>
          <w:p w:rsidR="00585A0D" w:rsidRDefault="00585A0D" w:rsidP="00585A0D">
            <w:pPr>
              <w:rPr>
                <w:sz w:val="19"/>
                <w:szCs w:val="19"/>
              </w:rPr>
            </w:pPr>
          </w:p>
          <w:p w:rsidR="00585A0D" w:rsidRDefault="00585A0D" w:rsidP="00585A0D">
            <w:pPr>
              <w:rPr>
                <w:sz w:val="20"/>
                <w:szCs w:val="20"/>
              </w:rPr>
            </w:pPr>
            <w:r>
              <w:rPr>
                <w:sz w:val="20"/>
                <w:szCs w:val="20"/>
              </w:rPr>
              <w:t>Statutory consultation process with Trades Unions with respect to potential for redundancies, January 2016.</w:t>
            </w:r>
          </w:p>
          <w:p w:rsidR="00585A0D" w:rsidRPr="00311478" w:rsidRDefault="00585A0D" w:rsidP="00585A0D">
            <w:pPr>
              <w:rPr>
                <w:sz w:val="19"/>
                <w:szCs w:val="19"/>
              </w:rPr>
            </w:pPr>
          </w:p>
        </w:tc>
      </w:tr>
      <w:tr w:rsidR="00585A0D" w:rsidRPr="00B15B8A" w:rsidTr="009E2D95">
        <w:tc>
          <w:tcPr>
            <w:tcW w:w="3256" w:type="dxa"/>
          </w:tcPr>
          <w:p w:rsidR="00585A0D" w:rsidRPr="00B15B8A" w:rsidRDefault="00585A0D" w:rsidP="00585A0D">
            <w:pPr>
              <w:rPr>
                <w:sz w:val="19"/>
                <w:szCs w:val="19"/>
              </w:rPr>
            </w:pPr>
            <w:r w:rsidRPr="00B15B8A">
              <w:rPr>
                <w:sz w:val="19"/>
                <w:szCs w:val="19"/>
              </w:rPr>
              <w:t>Equality Analysis</w:t>
            </w:r>
          </w:p>
        </w:tc>
        <w:tc>
          <w:tcPr>
            <w:tcW w:w="5953" w:type="dxa"/>
            <w:gridSpan w:val="3"/>
          </w:tcPr>
          <w:p w:rsidR="00585A0D" w:rsidRDefault="006231A6" w:rsidP="00585A0D">
            <w:pPr>
              <w:rPr>
                <w:sz w:val="20"/>
                <w:szCs w:val="20"/>
              </w:rPr>
            </w:pPr>
            <w:hyperlink r:id="rId6" w:history="1">
              <w:r w:rsidR="00B67BBB">
                <w:rPr>
                  <w:rStyle w:val="Hyperlink"/>
                  <w:sz w:val="20"/>
                  <w:szCs w:val="20"/>
                </w:rPr>
                <w:t>Click here to view docum</w:t>
              </w:r>
              <w:bookmarkStart w:id="0" w:name="_GoBack"/>
              <w:bookmarkEnd w:id="0"/>
              <w:r w:rsidR="00B67BBB">
                <w:rPr>
                  <w:rStyle w:val="Hyperlink"/>
                  <w:sz w:val="20"/>
                  <w:szCs w:val="20"/>
                </w:rPr>
                <w:t>e</w:t>
              </w:r>
              <w:r w:rsidR="00B67BBB">
                <w:rPr>
                  <w:rStyle w:val="Hyperlink"/>
                  <w:sz w:val="20"/>
                  <w:szCs w:val="20"/>
                </w:rPr>
                <w:t>nt</w:t>
              </w:r>
            </w:hyperlink>
          </w:p>
          <w:p w:rsidR="00B67BBB" w:rsidRPr="00B15B8A" w:rsidRDefault="00B67BBB" w:rsidP="00585A0D">
            <w:pPr>
              <w:rPr>
                <w:sz w:val="19"/>
                <w:szCs w:val="19"/>
              </w:rPr>
            </w:pPr>
          </w:p>
        </w:tc>
      </w:tr>
    </w:tbl>
    <w:p w:rsidR="00684E2F" w:rsidRDefault="00684E2F" w:rsidP="00B15B8A">
      <w:pPr>
        <w:rPr>
          <w:b/>
          <w:sz w:val="19"/>
          <w:szCs w:val="19"/>
        </w:rPr>
      </w:pPr>
    </w:p>
    <w:p w:rsidR="00576D36" w:rsidRPr="00B15B8A" w:rsidRDefault="00576D36" w:rsidP="00B15B8A">
      <w:pPr>
        <w:rPr>
          <w:b/>
          <w:sz w:val="19"/>
          <w:szCs w:val="19"/>
        </w:rPr>
      </w:pPr>
      <w:r w:rsidRPr="00B15B8A">
        <w:rPr>
          <w:b/>
          <w:sz w:val="19"/>
          <w:szCs w:val="19"/>
        </w:rPr>
        <w:t>What does this service deliver?</w:t>
      </w:r>
    </w:p>
    <w:p w:rsidR="00576D36" w:rsidRPr="00B15B8A" w:rsidRDefault="00576D36" w:rsidP="008976E3">
      <w:pPr>
        <w:autoSpaceDE w:val="0"/>
        <w:autoSpaceDN w:val="0"/>
        <w:adjustRightInd w:val="0"/>
        <w:spacing w:after="0" w:line="240" w:lineRule="auto"/>
        <w:contextualSpacing/>
        <w:jc w:val="both"/>
        <w:rPr>
          <w:rFonts w:cs="Arial"/>
          <w:b/>
          <w:sz w:val="19"/>
          <w:szCs w:val="19"/>
        </w:rPr>
      </w:pPr>
      <w:r w:rsidRPr="00B15B8A">
        <w:rPr>
          <w:rFonts w:cs="Arial"/>
          <w:b/>
          <w:sz w:val="19"/>
          <w:szCs w:val="19"/>
        </w:rPr>
        <w:t>Property Asset Management (Capital Programme) Team:</w:t>
      </w:r>
    </w:p>
    <w:p w:rsidR="00576D36" w:rsidRPr="00B15B8A" w:rsidRDefault="00576D36" w:rsidP="008976E3">
      <w:pPr>
        <w:spacing w:after="0" w:line="240" w:lineRule="auto"/>
        <w:jc w:val="both"/>
        <w:rPr>
          <w:rFonts w:cs="Arial"/>
          <w:sz w:val="19"/>
          <w:szCs w:val="19"/>
        </w:rPr>
      </w:pPr>
      <w:r w:rsidRPr="00B15B8A">
        <w:rPr>
          <w:rFonts w:cs="Arial"/>
          <w:sz w:val="19"/>
          <w:szCs w:val="19"/>
        </w:rPr>
        <w:t xml:space="preserve">Is responsible for the collection and retention of premises data, development of property standards, monitoring of legislative/regulatory compliance and liaison with commissioned service areas to determine investment programmes for the County Council's property portfolio.  The team undertakes the CDM client function and commissions and monitors all relevant property capital projects, including school expansions, new schools and refurbishments as determined by the School Planning and Provision Team. The team will act to ensure that the 'Premises Manager' function is 'fit for purpose', auditable and compliant. </w:t>
      </w:r>
    </w:p>
    <w:p w:rsidR="00576D36" w:rsidRPr="00B15B8A" w:rsidRDefault="00576D36" w:rsidP="00576D36">
      <w:pPr>
        <w:spacing w:after="0" w:line="240" w:lineRule="auto"/>
        <w:jc w:val="both"/>
        <w:rPr>
          <w:rFonts w:cs="Arial"/>
          <w:sz w:val="19"/>
          <w:szCs w:val="19"/>
        </w:rPr>
      </w:pPr>
    </w:p>
    <w:sectPr w:rsidR="00576D36" w:rsidRPr="00B15B8A" w:rsidSect="0084161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FE0"/>
    <w:multiLevelType w:val="hybridMultilevel"/>
    <w:tmpl w:val="39E09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116F84"/>
    <w:multiLevelType w:val="hybridMultilevel"/>
    <w:tmpl w:val="1C2C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36BE6"/>
    <w:multiLevelType w:val="hybridMultilevel"/>
    <w:tmpl w:val="E162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84670"/>
    <w:multiLevelType w:val="hybridMultilevel"/>
    <w:tmpl w:val="2A3A755E"/>
    <w:lvl w:ilvl="0" w:tplc="3530D03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91975"/>
    <w:rsid w:val="00095251"/>
    <w:rsid w:val="000D48EA"/>
    <w:rsid w:val="000E21C6"/>
    <w:rsid w:val="000E5FA0"/>
    <w:rsid w:val="00144CA6"/>
    <w:rsid w:val="00151BD4"/>
    <w:rsid w:val="001774BD"/>
    <w:rsid w:val="001B6643"/>
    <w:rsid w:val="001C156F"/>
    <w:rsid w:val="001E172B"/>
    <w:rsid w:val="00233A4F"/>
    <w:rsid w:val="00236F2D"/>
    <w:rsid w:val="00241D35"/>
    <w:rsid w:val="00243AA7"/>
    <w:rsid w:val="00280EFB"/>
    <w:rsid w:val="002A3E9F"/>
    <w:rsid w:val="002B630A"/>
    <w:rsid w:val="002C34DF"/>
    <w:rsid w:val="00311478"/>
    <w:rsid w:val="00341A46"/>
    <w:rsid w:val="003663BA"/>
    <w:rsid w:val="003869AC"/>
    <w:rsid w:val="00411DA3"/>
    <w:rsid w:val="00443967"/>
    <w:rsid w:val="00452C66"/>
    <w:rsid w:val="00464F42"/>
    <w:rsid w:val="004763D4"/>
    <w:rsid w:val="00487F0F"/>
    <w:rsid w:val="004D588F"/>
    <w:rsid w:val="004E121B"/>
    <w:rsid w:val="00530A8A"/>
    <w:rsid w:val="0054310A"/>
    <w:rsid w:val="00556BDB"/>
    <w:rsid w:val="00576D36"/>
    <w:rsid w:val="00585A0D"/>
    <w:rsid w:val="005957E5"/>
    <w:rsid w:val="005B386D"/>
    <w:rsid w:val="005C3A55"/>
    <w:rsid w:val="00604C13"/>
    <w:rsid w:val="006215A6"/>
    <w:rsid w:val="006231A6"/>
    <w:rsid w:val="006462F4"/>
    <w:rsid w:val="0064633C"/>
    <w:rsid w:val="00652705"/>
    <w:rsid w:val="0065624A"/>
    <w:rsid w:val="00662084"/>
    <w:rsid w:val="0066742C"/>
    <w:rsid w:val="006716C9"/>
    <w:rsid w:val="00684E2F"/>
    <w:rsid w:val="00692710"/>
    <w:rsid w:val="0069592C"/>
    <w:rsid w:val="006B2CE0"/>
    <w:rsid w:val="006F35E8"/>
    <w:rsid w:val="006F58CE"/>
    <w:rsid w:val="0070267C"/>
    <w:rsid w:val="00711875"/>
    <w:rsid w:val="00716A4F"/>
    <w:rsid w:val="007467AF"/>
    <w:rsid w:val="007A39DB"/>
    <w:rsid w:val="007D00B0"/>
    <w:rsid w:val="007D2F78"/>
    <w:rsid w:val="007D6CED"/>
    <w:rsid w:val="008039DA"/>
    <w:rsid w:val="008252EB"/>
    <w:rsid w:val="00827511"/>
    <w:rsid w:val="00841616"/>
    <w:rsid w:val="00846A4F"/>
    <w:rsid w:val="008976E3"/>
    <w:rsid w:val="008E30D2"/>
    <w:rsid w:val="009304C0"/>
    <w:rsid w:val="009949AC"/>
    <w:rsid w:val="009C1A9E"/>
    <w:rsid w:val="009C4647"/>
    <w:rsid w:val="009E0E1B"/>
    <w:rsid w:val="009E2D95"/>
    <w:rsid w:val="00A27710"/>
    <w:rsid w:val="00A33171"/>
    <w:rsid w:val="00A61F59"/>
    <w:rsid w:val="00A91829"/>
    <w:rsid w:val="00AE14AD"/>
    <w:rsid w:val="00AE7339"/>
    <w:rsid w:val="00B01F50"/>
    <w:rsid w:val="00B15B8A"/>
    <w:rsid w:val="00B25405"/>
    <w:rsid w:val="00B26FCE"/>
    <w:rsid w:val="00B325D0"/>
    <w:rsid w:val="00B67BBB"/>
    <w:rsid w:val="00B819B1"/>
    <w:rsid w:val="00BE1BC0"/>
    <w:rsid w:val="00BE44C4"/>
    <w:rsid w:val="00BF4577"/>
    <w:rsid w:val="00C116C8"/>
    <w:rsid w:val="00C14B27"/>
    <w:rsid w:val="00C3384B"/>
    <w:rsid w:val="00C50F5C"/>
    <w:rsid w:val="00C76C67"/>
    <w:rsid w:val="00C844FA"/>
    <w:rsid w:val="00CA10C4"/>
    <w:rsid w:val="00CA2B52"/>
    <w:rsid w:val="00CB7956"/>
    <w:rsid w:val="00D64925"/>
    <w:rsid w:val="00D91624"/>
    <w:rsid w:val="00DC2092"/>
    <w:rsid w:val="00E11356"/>
    <w:rsid w:val="00E17B81"/>
    <w:rsid w:val="00E32D62"/>
    <w:rsid w:val="00E56AA9"/>
    <w:rsid w:val="00EA1D7C"/>
    <w:rsid w:val="00F15B60"/>
    <w:rsid w:val="00F16F43"/>
    <w:rsid w:val="00F23563"/>
    <w:rsid w:val="00F26FCF"/>
    <w:rsid w:val="00F679F6"/>
    <w:rsid w:val="00F67BFD"/>
    <w:rsid w:val="00F9314E"/>
    <w:rsid w:val="00F944E3"/>
    <w:rsid w:val="00FA31C6"/>
    <w:rsid w:val="00FA6D71"/>
    <w:rsid w:val="00FA744B"/>
    <w:rsid w:val="00FB61AD"/>
    <w:rsid w:val="00FB75C9"/>
    <w:rsid w:val="00FF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76D36"/>
  </w:style>
  <w:style w:type="character" w:styleId="Hyperlink">
    <w:name w:val="Hyperlink"/>
    <w:basedOn w:val="DefaultParagraphFont"/>
    <w:uiPriority w:val="99"/>
    <w:semiHidden/>
    <w:unhideWhenUsed/>
    <w:rsid w:val="00B67BBB"/>
    <w:rPr>
      <w:color w:val="0563C1"/>
      <w:u w:val="single"/>
    </w:rPr>
  </w:style>
  <w:style w:type="character" w:styleId="FollowedHyperlink">
    <w:name w:val="FollowedHyperlink"/>
    <w:basedOn w:val="DefaultParagraphFont"/>
    <w:uiPriority w:val="99"/>
    <w:semiHidden/>
    <w:unhideWhenUsed/>
    <w:rsid w:val="00623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0743">
      <w:bodyDiv w:val="1"/>
      <w:marLeft w:val="0"/>
      <w:marRight w:val="0"/>
      <w:marTop w:val="0"/>
      <w:marBottom w:val="0"/>
      <w:divBdr>
        <w:top w:val="none" w:sz="0" w:space="0" w:color="auto"/>
        <w:left w:val="none" w:sz="0" w:space="0" w:color="auto"/>
        <w:bottom w:val="none" w:sz="0" w:space="0" w:color="auto"/>
        <w:right w:val="none" w:sz="0" w:space="0" w:color="auto"/>
      </w:divBdr>
    </w:div>
    <w:div w:id="1698265546">
      <w:bodyDiv w:val="1"/>
      <w:marLeft w:val="0"/>
      <w:marRight w:val="0"/>
      <w:marTop w:val="0"/>
      <w:marBottom w:val="0"/>
      <w:divBdr>
        <w:top w:val="none" w:sz="0" w:space="0" w:color="auto"/>
        <w:left w:val="none" w:sz="0" w:space="0" w:color="auto"/>
        <w:bottom w:val="none" w:sz="0" w:space="0" w:color="auto"/>
        <w:right w:val="none" w:sz="0" w:space="0" w:color="auto"/>
      </w:divBdr>
    </w:div>
    <w:div w:id="19853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00&amp;ID=1400&amp;RPID=7643949&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56C7A-A5E2-442D-AC94-B7661004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25</cp:revision>
  <cp:lastPrinted>2015-09-22T10:58:00Z</cp:lastPrinted>
  <dcterms:created xsi:type="dcterms:W3CDTF">2015-11-03T17:44:00Z</dcterms:created>
  <dcterms:modified xsi:type="dcterms:W3CDTF">2015-11-16T15:05:00Z</dcterms:modified>
</cp:coreProperties>
</file>